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78"/>
        <w:gridCol w:w="5220"/>
        <w:gridCol w:w="2160"/>
      </w:tblGrid>
      <w:tr w:rsidR="009363B6" w14:paraId="438865D2" w14:textId="77777777" w:rsidTr="009363B6">
        <w:tc>
          <w:tcPr>
            <w:tcW w:w="2178" w:type="dxa"/>
            <w:vAlign w:val="center"/>
          </w:tcPr>
          <w:p w14:paraId="677F1A67" w14:textId="77777777" w:rsidR="009363B6" w:rsidRDefault="009363B6" w:rsidP="009363B6">
            <w:pPr>
              <w:spacing w:after="120"/>
              <w:rPr>
                <w:b/>
                <w:sz w:val="32"/>
                <w:szCs w:val="32"/>
              </w:rPr>
            </w:pPr>
            <w:r>
              <w:rPr>
                <w:b/>
                <w:noProof/>
                <w:sz w:val="32"/>
                <w:szCs w:val="32"/>
              </w:rPr>
              <w:drawing>
                <wp:inline distT="0" distB="0" distL="0" distR="0" wp14:anchorId="2C1364BA" wp14:editId="7F0BFE7F">
                  <wp:extent cx="979332" cy="1185633"/>
                  <wp:effectExtent l="19050" t="0" r="0" b="0"/>
                  <wp:docPr id="3" name="Picture 1" descr="tslac_logo_1_jpeg_413x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slac_logo_1_jpeg_413x500.jpg"/>
                          <pic:cNvPicPr/>
                        </pic:nvPicPr>
                        <pic:blipFill>
                          <a:blip r:embed="rId5" cstate="print"/>
                          <a:stretch>
                            <a:fillRect/>
                          </a:stretch>
                        </pic:blipFill>
                        <pic:spPr>
                          <a:xfrm>
                            <a:off x="0" y="0"/>
                            <a:ext cx="982125" cy="1189015"/>
                          </a:xfrm>
                          <a:prstGeom prst="rect">
                            <a:avLst/>
                          </a:prstGeom>
                        </pic:spPr>
                      </pic:pic>
                    </a:graphicData>
                  </a:graphic>
                </wp:inline>
              </w:drawing>
            </w:r>
          </w:p>
        </w:tc>
        <w:tc>
          <w:tcPr>
            <w:tcW w:w="5220" w:type="dxa"/>
            <w:vAlign w:val="center"/>
          </w:tcPr>
          <w:p w14:paraId="1224DA95" w14:textId="77777777" w:rsidR="009363B6" w:rsidRPr="009B6E81" w:rsidRDefault="009363B6" w:rsidP="009363B6">
            <w:pPr>
              <w:spacing w:after="120"/>
              <w:jc w:val="center"/>
              <w:rPr>
                <w:b/>
                <w:sz w:val="32"/>
                <w:szCs w:val="32"/>
              </w:rPr>
            </w:pPr>
            <w:r w:rsidRPr="009B6E81">
              <w:rPr>
                <w:b/>
                <w:sz w:val="32"/>
                <w:szCs w:val="32"/>
              </w:rPr>
              <w:t>TexShare Card Program</w:t>
            </w:r>
          </w:p>
          <w:p w14:paraId="2AE22E98" w14:textId="77777777" w:rsidR="009363B6" w:rsidRPr="009B6E81" w:rsidRDefault="009363B6" w:rsidP="009363B6">
            <w:pPr>
              <w:spacing w:after="120"/>
              <w:jc w:val="center"/>
              <w:rPr>
                <w:sz w:val="32"/>
                <w:szCs w:val="32"/>
              </w:rPr>
            </w:pPr>
            <w:r w:rsidRPr="009B6E81">
              <w:rPr>
                <w:sz w:val="32"/>
                <w:szCs w:val="32"/>
              </w:rPr>
              <w:t>Lending Policy Elements</w:t>
            </w:r>
          </w:p>
          <w:p w14:paraId="422233FE" w14:textId="77777777" w:rsidR="009363B6" w:rsidRDefault="009363B6" w:rsidP="009363B6">
            <w:pPr>
              <w:spacing w:after="120"/>
              <w:jc w:val="center"/>
              <w:rPr>
                <w:b/>
                <w:sz w:val="32"/>
                <w:szCs w:val="32"/>
              </w:rPr>
            </w:pPr>
          </w:p>
        </w:tc>
        <w:tc>
          <w:tcPr>
            <w:tcW w:w="2160" w:type="dxa"/>
            <w:vAlign w:val="center"/>
          </w:tcPr>
          <w:p w14:paraId="353168A6" w14:textId="77777777" w:rsidR="009363B6" w:rsidRDefault="009363B6" w:rsidP="009363B6">
            <w:pPr>
              <w:spacing w:after="120"/>
              <w:jc w:val="right"/>
              <w:rPr>
                <w:b/>
                <w:sz w:val="32"/>
                <w:szCs w:val="32"/>
              </w:rPr>
            </w:pPr>
            <w:r>
              <w:rPr>
                <w:b/>
                <w:noProof/>
                <w:sz w:val="32"/>
                <w:szCs w:val="32"/>
              </w:rPr>
              <w:drawing>
                <wp:inline distT="0" distB="0" distL="0" distR="0" wp14:anchorId="0A2F408E" wp14:editId="51CC4926">
                  <wp:extent cx="1246079" cy="1246079"/>
                  <wp:effectExtent l="19050" t="0" r="0" b="0"/>
                  <wp:docPr id="4" name="Picture 3" descr="TexShare-Logo-CIRCL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Share-Logo-CIRCLE (2).jpg"/>
                          <pic:cNvPicPr/>
                        </pic:nvPicPr>
                        <pic:blipFill>
                          <a:blip r:embed="rId6" cstate="print"/>
                          <a:stretch>
                            <a:fillRect/>
                          </a:stretch>
                        </pic:blipFill>
                        <pic:spPr>
                          <a:xfrm>
                            <a:off x="0" y="0"/>
                            <a:ext cx="1246134" cy="1246134"/>
                          </a:xfrm>
                          <a:prstGeom prst="rect">
                            <a:avLst/>
                          </a:prstGeom>
                        </pic:spPr>
                      </pic:pic>
                    </a:graphicData>
                  </a:graphic>
                </wp:inline>
              </w:drawing>
            </w:r>
          </w:p>
        </w:tc>
      </w:tr>
    </w:tbl>
    <w:p w14:paraId="22BAB242" w14:textId="77777777" w:rsidR="000B598C" w:rsidRDefault="000B598C" w:rsidP="009B6E81">
      <w:pPr>
        <w:keepNext/>
        <w:spacing w:before="240" w:after="120" w:line="240" w:lineRule="auto"/>
        <w:rPr>
          <w:b/>
        </w:rPr>
      </w:pPr>
    </w:p>
    <w:p w14:paraId="6F5541AD" w14:textId="77777777" w:rsidR="009B6E81" w:rsidRPr="009B6E81" w:rsidRDefault="009B6E81" w:rsidP="009B6E81">
      <w:pPr>
        <w:keepNext/>
        <w:spacing w:before="240" w:after="120" w:line="240" w:lineRule="auto"/>
        <w:rPr>
          <w:b/>
        </w:rPr>
      </w:pPr>
      <w:r w:rsidRPr="009B6E81">
        <w:rPr>
          <w:b/>
        </w:rPr>
        <w:t>Library Information</w:t>
      </w:r>
    </w:p>
    <w:p w14:paraId="34C5706D" w14:textId="77777777" w:rsidR="009B6E81" w:rsidRDefault="009B6E81" w:rsidP="009B6E81">
      <w:pPr>
        <w:spacing w:after="120" w:line="240" w:lineRule="auto"/>
        <w:ind w:left="720"/>
      </w:pPr>
      <w:r>
        <w:t>Library Name</w:t>
      </w:r>
      <w:r w:rsidR="000B598C" w:rsidRPr="000B598C">
        <w:rPr>
          <w:color w:val="FF0000"/>
        </w:rPr>
        <w:t xml:space="preserve"> (required)</w:t>
      </w:r>
    </w:p>
    <w:p w14:paraId="1CED5A67" w14:textId="63C8EF24" w:rsidR="009B6E81" w:rsidRDefault="003A79D0" w:rsidP="009B6E81">
      <w:pPr>
        <w:spacing w:after="120" w:line="240" w:lineRule="auto"/>
        <w:ind w:left="720"/>
      </w:pPr>
      <w:r>
        <w:t>Lending Policy Phone</w:t>
      </w:r>
    </w:p>
    <w:p w14:paraId="0776E5EA" w14:textId="17BE4200" w:rsidR="003A79D0" w:rsidRDefault="003A79D0" w:rsidP="003A79D0">
      <w:pPr>
        <w:spacing w:after="120" w:line="240" w:lineRule="auto"/>
        <w:ind w:left="1440"/>
      </w:pPr>
      <w:r>
        <w:t>A generic phone number, such as a Circulation Desk number, is preferred</w:t>
      </w:r>
    </w:p>
    <w:p w14:paraId="58B1D651" w14:textId="0B4C1EA1" w:rsidR="009B6E81" w:rsidRDefault="009B6E81" w:rsidP="009B6E81">
      <w:pPr>
        <w:spacing w:after="120" w:line="240" w:lineRule="auto"/>
        <w:ind w:left="720"/>
      </w:pPr>
      <w:r>
        <w:t>Library Email</w:t>
      </w:r>
    </w:p>
    <w:p w14:paraId="023FCBA7" w14:textId="65FA4381" w:rsidR="003A79D0" w:rsidRDefault="003A79D0" w:rsidP="003A79D0">
      <w:pPr>
        <w:spacing w:after="120" w:line="240" w:lineRule="auto"/>
        <w:ind w:left="1440"/>
      </w:pPr>
      <w:r>
        <w:t xml:space="preserve">A generic email such as </w:t>
      </w:r>
      <w:hyperlink r:id="rId7" w:history="1">
        <w:r w:rsidRPr="00332BC1">
          <w:rPr>
            <w:rStyle w:val="Hyperlink"/>
          </w:rPr>
          <w:t>circulation@library.org</w:t>
        </w:r>
      </w:hyperlink>
      <w:r>
        <w:t xml:space="preserve"> is preferred</w:t>
      </w:r>
    </w:p>
    <w:p w14:paraId="42B6A199" w14:textId="2648859C" w:rsidR="000B598C" w:rsidRDefault="000B598C" w:rsidP="009B6E81">
      <w:pPr>
        <w:keepNext/>
        <w:spacing w:before="240" w:after="120" w:line="240" w:lineRule="auto"/>
        <w:rPr>
          <w:b/>
        </w:rPr>
      </w:pPr>
      <w:bookmarkStart w:id="0" w:name="_GoBack"/>
      <w:bookmarkEnd w:id="0"/>
      <w:r>
        <w:rPr>
          <w:b/>
        </w:rPr>
        <w:t xml:space="preserve">Notes: </w:t>
      </w:r>
      <w:r w:rsidR="001A2614">
        <w:rPr>
          <w:b/>
        </w:rPr>
        <w:t>E</w:t>
      </w:r>
      <w:r w:rsidR="00434279">
        <w:rPr>
          <w:b/>
        </w:rPr>
        <w:t>lement is not applicable, mark it “N/A”</w:t>
      </w:r>
      <w:r w:rsidR="00DC4264">
        <w:rPr>
          <w:b/>
        </w:rPr>
        <w:t xml:space="preserve"> unless it is labelled </w:t>
      </w:r>
      <w:r w:rsidR="00F06801">
        <w:rPr>
          <w:b/>
        </w:rPr>
        <w:t>with an asterisk</w:t>
      </w:r>
      <w:r w:rsidR="00F06801" w:rsidRPr="00F06801">
        <w:rPr>
          <w:b/>
          <w:color w:val="FF0000"/>
        </w:rPr>
        <w:t>*</w:t>
      </w:r>
    </w:p>
    <w:p w14:paraId="6F8FA7AB" w14:textId="2370B199" w:rsidR="003A79D0" w:rsidRPr="004F06C6" w:rsidRDefault="003A79D0" w:rsidP="003A79D0">
      <w:pPr>
        <w:keepNext/>
        <w:spacing w:before="240" w:after="120" w:line="240" w:lineRule="auto"/>
        <w:rPr>
          <w:b/>
          <w:color w:val="FF0000"/>
        </w:rPr>
      </w:pPr>
      <w:r>
        <w:rPr>
          <w:b/>
        </w:rPr>
        <w:t>Obtaining a TexShare Card</w:t>
      </w:r>
      <w:r w:rsidR="00F06801" w:rsidRPr="00F06801">
        <w:rPr>
          <w:b/>
          <w:color w:val="FF0000"/>
        </w:rPr>
        <w:t>*</w:t>
      </w:r>
    </w:p>
    <w:p w14:paraId="7520409B" w14:textId="5E54C546" w:rsidR="003A79D0" w:rsidRDefault="00B7005A" w:rsidP="003A79D0">
      <w:pPr>
        <w:spacing w:after="120" w:line="240" w:lineRule="auto"/>
        <w:ind w:left="720"/>
      </w:pPr>
      <w:r w:rsidRPr="00B7005A">
        <w:t>Information about how your library patrons can obtain a TexShare Card to use at another library.</w:t>
      </w:r>
      <w:r>
        <w:t xml:space="preserve"> </w:t>
      </w:r>
      <w:r w:rsidR="003A79D0">
        <w:t>For example, where do they apply? Is other identification required, such as a photo ID? Are there restrictions</w:t>
      </w:r>
      <w:r>
        <w:t xml:space="preserve"> of who can obtain a TexShare Card</w:t>
      </w:r>
      <w:r w:rsidR="003A79D0">
        <w:t>?</w:t>
      </w:r>
    </w:p>
    <w:p w14:paraId="2011B7D3" w14:textId="6F557195" w:rsidR="003A79D0" w:rsidRPr="00B7005A" w:rsidRDefault="003A79D0" w:rsidP="003A79D0">
      <w:pPr>
        <w:spacing w:after="120" w:line="240" w:lineRule="auto"/>
        <w:ind w:left="720"/>
        <w:rPr>
          <w:i/>
        </w:rPr>
      </w:pPr>
      <w:r w:rsidRPr="00B7005A">
        <w:rPr>
          <w:i/>
        </w:rPr>
        <w:t xml:space="preserve">Example: Patrons at the Somewhere Public Library may request a TexShare Card at the </w:t>
      </w:r>
      <w:r w:rsidR="00B7005A" w:rsidRPr="00B7005A">
        <w:rPr>
          <w:i/>
        </w:rPr>
        <w:t>circulation desk during normal business hours. Patrons under 18 must be accompanied by a parent or guardian. Patrons must have had an active borrowing record at Somewhere Public Library for at least six months and have no overdue items, fines, or fees on their account.</w:t>
      </w:r>
    </w:p>
    <w:p w14:paraId="73623FEC" w14:textId="581C8F74" w:rsidR="009B6E81" w:rsidRPr="009B6E81" w:rsidRDefault="00B7005A" w:rsidP="009B6E81">
      <w:pPr>
        <w:keepNext/>
        <w:spacing w:before="240" w:after="120" w:line="240" w:lineRule="auto"/>
        <w:rPr>
          <w:b/>
        </w:rPr>
      </w:pPr>
      <w:r>
        <w:rPr>
          <w:b/>
        </w:rPr>
        <w:t>Using a TexShare Card</w:t>
      </w:r>
      <w:r w:rsidR="00F06801" w:rsidRPr="00F06801">
        <w:rPr>
          <w:b/>
          <w:color w:val="FF0000"/>
        </w:rPr>
        <w:t>*</w:t>
      </w:r>
    </w:p>
    <w:p w14:paraId="1B3B3CAB" w14:textId="2E53E4CE" w:rsidR="009B6E81" w:rsidRDefault="00B7005A" w:rsidP="009B6E81">
      <w:pPr>
        <w:spacing w:after="120" w:line="240" w:lineRule="auto"/>
        <w:ind w:left="720"/>
      </w:pPr>
      <w:r w:rsidRPr="00B7005A">
        <w:t>Information about how visiting TexShare Card holders from other libraries may apply to check out materials from your library, and what ID or materials they may need to present</w:t>
      </w:r>
      <w:r>
        <w:t>.</w:t>
      </w:r>
    </w:p>
    <w:p w14:paraId="27C6686A" w14:textId="0174C484" w:rsidR="00B7005A" w:rsidRPr="00B7005A" w:rsidRDefault="00B7005A" w:rsidP="00B7005A">
      <w:pPr>
        <w:spacing w:after="120" w:line="240" w:lineRule="auto"/>
        <w:ind w:left="720"/>
        <w:rPr>
          <w:i/>
        </w:rPr>
      </w:pPr>
      <w:r w:rsidRPr="00B7005A">
        <w:rPr>
          <w:i/>
        </w:rPr>
        <w:t xml:space="preserve">Example: </w:t>
      </w:r>
      <w:r>
        <w:rPr>
          <w:i/>
        </w:rPr>
        <w:t>TexShare Card holders may apply for a free</w:t>
      </w:r>
      <w:r w:rsidRPr="00B7005A">
        <w:rPr>
          <w:i/>
        </w:rPr>
        <w:t xml:space="preserve"> Somewhere Public Library </w:t>
      </w:r>
      <w:r w:rsidR="00FE7677">
        <w:rPr>
          <w:i/>
        </w:rPr>
        <w:t>card</w:t>
      </w:r>
      <w:r w:rsidRPr="00B7005A">
        <w:rPr>
          <w:i/>
        </w:rPr>
        <w:t xml:space="preserve"> at the circulation desk during normal business hours. Patrons under 18 must be accompanied by a parent or guardian. Patrons must </w:t>
      </w:r>
      <w:r w:rsidR="00FE7677">
        <w:rPr>
          <w:i/>
        </w:rPr>
        <w:t xml:space="preserve">present a </w:t>
      </w:r>
      <w:proofErr w:type="gramStart"/>
      <w:r w:rsidR="00FE7677">
        <w:rPr>
          <w:i/>
        </w:rPr>
        <w:t>Texas drivers</w:t>
      </w:r>
      <w:proofErr w:type="gramEnd"/>
      <w:r w:rsidR="00FE7677">
        <w:rPr>
          <w:i/>
        </w:rPr>
        <w:t xml:space="preserve"> license or photo ID and proof of their current address.</w:t>
      </w:r>
    </w:p>
    <w:p w14:paraId="18841C44" w14:textId="77777777" w:rsidR="009B6E81" w:rsidRPr="009B6E81" w:rsidRDefault="000B598C" w:rsidP="009B6E81">
      <w:pPr>
        <w:keepNext/>
        <w:spacing w:before="240" w:after="120" w:line="240" w:lineRule="auto"/>
        <w:rPr>
          <w:b/>
        </w:rPr>
      </w:pPr>
      <w:r>
        <w:rPr>
          <w:b/>
        </w:rPr>
        <w:t>Hours of Operation</w:t>
      </w:r>
    </w:p>
    <w:p w14:paraId="1F3D1CB2" w14:textId="4EFB6B7B" w:rsidR="009B6E81" w:rsidRDefault="00FE7677" w:rsidP="009B6E81">
      <w:pPr>
        <w:spacing w:after="120" w:line="240" w:lineRule="auto"/>
        <w:ind w:left="720"/>
      </w:pPr>
      <w:r w:rsidRPr="00FE7677">
        <w:t>Hours that your library is open to patrons. You may include a website URL</w:t>
      </w:r>
      <w:r w:rsidR="009B6E81">
        <w:t>. Do hours change during holiday and intersession periods?</w:t>
      </w:r>
    </w:p>
    <w:p w14:paraId="4B01B654" w14:textId="4ABF7529" w:rsidR="00FE7677" w:rsidRPr="00FE7677" w:rsidRDefault="00FE7677" w:rsidP="009B6E81">
      <w:pPr>
        <w:spacing w:after="120" w:line="240" w:lineRule="auto"/>
        <w:ind w:left="720"/>
        <w:rPr>
          <w:i/>
        </w:rPr>
      </w:pPr>
      <w:r w:rsidRPr="00FE7677">
        <w:rPr>
          <w:i/>
        </w:rPr>
        <w:t xml:space="preserve">Example: Somewhere Public Library is open Monday through Thursday 10 a.m. to 6 p.m., Fridays and Saturdays 10 a.m. to 7 p.m. We are closed on Sunday. Hours may vary due to holidays and staff training; please check </w:t>
      </w:r>
      <w:hyperlink r:id="rId8" w:history="1">
        <w:r w:rsidRPr="00FE7677">
          <w:rPr>
            <w:rStyle w:val="Hyperlink"/>
            <w:i/>
          </w:rPr>
          <w:t>www.somewhere.gov/library/hours</w:t>
        </w:r>
      </w:hyperlink>
      <w:r w:rsidRPr="00FE7677">
        <w:rPr>
          <w:i/>
        </w:rPr>
        <w:t xml:space="preserve"> for current hours.</w:t>
      </w:r>
    </w:p>
    <w:p w14:paraId="6A295B61" w14:textId="7FDEB67F" w:rsidR="00FE7677" w:rsidRPr="009B6E81" w:rsidRDefault="00FE7677" w:rsidP="00FE7677">
      <w:pPr>
        <w:keepNext/>
        <w:spacing w:before="240" w:after="120" w:line="240" w:lineRule="auto"/>
        <w:rPr>
          <w:b/>
        </w:rPr>
      </w:pPr>
      <w:r>
        <w:rPr>
          <w:b/>
        </w:rPr>
        <w:t>Loan Policies</w:t>
      </w:r>
      <w:r w:rsidR="001A2614" w:rsidRPr="00F06801">
        <w:rPr>
          <w:b/>
          <w:color w:val="FF0000"/>
        </w:rPr>
        <w:t>*</w:t>
      </w:r>
    </w:p>
    <w:p w14:paraId="4FA3955E" w14:textId="307572B4" w:rsidR="00FE7677" w:rsidRDefault="00FE7677" w:rsidP="00FE7677">
      <w:pPr>
        <w:spacing w:after="120" w:line="240" w:lineRule="auto"/>
        <w:ind w:left="720"/>
      </w:pPr>
      <w:r w:rsidRPr="00FE7677">
        <w:t>Circulation policies for visiting TexShare Card holders.</w:t>
      </w:r>
    </w:p>
    <w:p w14:paraId="24BE360A" w14:textId="0E59AC26" w:rsidR="00FE7677" w:rsidRPr="00FE7677" w:rsidRDefault="00FE7677" w:rsidP="00FE7677">
      <w:pPr>
        <w:spacing w:after="120" w:line="240" w:lineRule="auto"/>
        <w:ind w:left="720"/>
        <w:rPr>
          <w:i/>
        </w:rPr>
      </w:pPr>
      <w:r w:rsidRPr="00FE7677">
        <w:rPr>
          <w:i/>
        </w:rPr>
        <w:t xml:space="preserve">Example: </w:t>
      </w:r>
      <w:r>
        <w:rPr>
          <w:i/>
        </w:rPr>
        <w:t xml:space="preserve">TexShare Card patrons are allowed a maximum of 5 checked out items at any one time. </w:t>
      </w:r>
      <w:r w:rsidRPr="00FE7677">
        <w:rPr>
          <w:i/>
        </w:rPr>
        <w:t xml:space="preserve">The checkout period for books is two weeks. DVDs and CDs have a checkout period of </w:t>
      </w:r>
      <w:r w:rsidR="00434279">
        <w:rPr>
          <w:i/>
        </w:rPr>
        <w:t>one</w:t>
      </w:r>
      <w:r w:rsidRPr="00FE7677">
        <w:rPr>
          <w:i/>
        </w:rPr>
        <w:t xml:space="preserve"> week. Materials cannot be checked out if there are any overdue materials, fines, or fees on the account.</w:t>
      </w:r>
    </w:p>
    <w:p w14:paraId="0886BA57" w14:textId="52CEC209" w:rsidR="00FE7677" w:rsidRPr="009B6E81" w:rsidRDefault="00FE7677" w:rsidP="00FE7677">
      <w:pPr>
        <w:keepNext/>
        <w:spacing w:before="240" w:after="120" w:line="240" w:lineRule="auto"/>
        <w:rPr>
          <w:b/>
        </w:rPr>
      </w:pPr>
      <w:r>
        <w:rPr>
          <w:b/>
        </w:rPr>
        <w:t>Restrictions and Limitations</w:t>
      </w:r>
    </w:p>
    <w:p w14:paraId="33A76051" w14:textId="76CEC2CC" w:rsidR="00FE7677" w:rsidRDefault="00434279" w:rsidP="00FE7677">
      <w:pPr>
        <w:spacing w:after="120" w:line="240" w:lineRule="auto"/>
        <w:ind w:left="720"/>
      </w:pPr>
      <w:r w:rsidRPr="00434279">
        <w:t>Any limitations on borrowing or services for visiting TexShare Card users, such as age restrictions. Materials that are not available for borrowing should be listed in the Non-Circulating items section, below</w:t>
      </w:r>
      <w:r w:rsidR="00FE7677">
        <w:t>.</w:t>
      </w:r>
    </w:p>
    <w:p w14:paraId="75140950" w14:textId="3970DE16" w:rsidR="00434279" w:rsidRPr="00434279" w:rsidRDefault="00434279" w:rsidP="00FE7677">
      <w:pPr>
        <w:spacing w:after="120" w:line="240" w:lineRule="auto"/>
        <w:ind w:left="720"/>
        <w:rPr>
          <w:i/>
        </w:rPr>
      </w:pPr>
      <w:r w:rsidRPr="00434279">
        <w:rPr>
          <w:i/>
        </w:rPr>
        <w:t>Example: TexShare Card patrons are not ably to use library electronic resources remotely. Use is permitted only from a library guest computer.</w:t>
      </w:r>
    </w:p>
    <w:p w14:paraId="068290CA" w14:textId="77777777" w:rsidR="009B6E81" w:rsidRPr="009B6E81" w:rsidRDefault="000B598C" w:rsidP="009B6E81">
      <w:pPr>
        <w:keepNext/>
        <w:spacing w:before="240" w:after="120" w:line="240" w:lineRule="auto"/>
        <w:rPr>
          <w:b/>
        </w:rPr>
      </w:pPr>
      <w:r>
        <w:rPr>
          <w:b/>
        </w:rPr>
        <w:t>Renewals</w:t>
      </w:r>
    </w:p>
    <w:p w14:paraId="59F94ABB" w14:textId="78F83644" w:rsidR="009B6E81" w:rsidRDefault="00434279" w:rsidP="009B6E81">
      <w:pPr>
        <w:spacing w:after="120" w:line="240" w:lineRule="auto"/>
        <w:ind w:left="720"/>
      </w:pPr>
      <w:r w:rsidRPr="00434279">
        <w:t>Instructions for renewing materials checked out by visiting TexShare Card users.</w:t>
      </w:r>
      <w:r>
        <w:t xml:space="preserve"> </w:t>
      </w:r>
      <w:r w:rsidR="009B6E81">
        <w:t>For example, renewal in person only, by phone, by e-mail, self-service through your online catalog or library information system.</w:t>
      </w:r>
    </w:p>
    <w:p w14:paraId="6546B833" w14:textId="59A389DB" w:rsidR="00434279" w:rsidRPr="00434279" w:rsidRDefault="00434279" w:rsidP="009B6E81">
      <w:pPr>
        <w:spacing w:after="120" w:line="240" w:lineRule="auto"/>
        <w:ind w:left="720"/>
        <w:rPr>
          <w:i/>
        </w:rPr>
      </w:pPr>
      <w:r w:rsidRPr="00434279">
        <w:rPr>
          <w:i/>
        </w:rPr>
        <w:t xml:space="preserve">Example: TexShare Card users may renew items unless they have been recalled by another patron. Renewals will not be allowed within ten days of the TexShare Card expiration date. </w:t>
      </w:r>
      <w:r w:rsidR="00A13EEA">
        <w:rPr>
          <w:i/>
        </w:rPr>
        <w:t xml:space="preserve">Items can be renewed online through the patron’s account in the library online catalog at </w:t>
      </w:r>
      <w:hyperlink r:id="rId9" w:history="1">
        <w:r w:rsidR="00A13EEA" w:rsidRPr="00332BC1">
          <w:rPr>
            <w:rStyle w:val="Hyperlink"/>
            <w:i/>
          </w:rPr>
          <w:t>https://catalog.somewhere.gov</w:t>
        </w:r>
      </w:hyperlink>
      <w:r w:rsidR="00A13EEA">
        <w:rPr>
          <w:i/>
        </w:rPr>
        <w:t xml:space="preserve"> or by calling the circulation desk at (000) 000-0000.</w:t>
      </w:r>
    </w:p>
    <w:p w14:paraId="4BB4CE5C" w14:textId="77777777" w:rsidR="009B6E81" w:rsidRPr="009B6E81" w:rsidRDefault="000B598C" w:rsidP="009B6E81">
      <w:pPr>
        <w:keepNext/>
        <w:spacing w:before="240" w:after="120" w:line="240" w:lineRule="auto"/>
        <w:rPr>
          <w:b/>
        </w:rPr>
      </w:pPr>
      <w:r>
        <w:rPr>
          <w:b/>
        </w:rPr>
        <w:t>Returns</w:t>
      </w:r>
    </w:p>
    <w:p w14:paraId="725D84DF" w14:textId="214F8B8A" w:rsidR="009B6E81" w:rsidRDefault="00434279" w:rsidP="009B6E81">
      <w:pPr>
        <w:spacing w:after="120" w:line="240" w:lineRule="auto"/>
        <w:ind w:left="720"/>
      </w:pPr>
      <w:r w:rsidRPr="00434279">
        <w:t>Indicate how materials may be returned. If items can be returned by mail, list the address.</w:t>
      </w:r>
      <w:r>
        <w:t xml:space="preserve"> </w:t>
      </w:r>
      <w:r w:rsidR="009B6E81">
        <w:t>For example, to the same desk as checked out; to other designated returns; to remote or 24-hour returns; by mail; etc. Are there categories of materials which have special restrictions on methods of return?</w:t>
      </w:r>
    </w:p>
    <w:p w14:paraId="624592FC" w14:textId="77777777" w:rsidR="00434279" w:rsidRPr="00434279" w:rsidRDefault="00434279" w:rsidP="009B6E81">
      <w:pPr>
        <w:spacing w:after="120" w:line="240" w:lineRule="auto"/>
        <w:ind w:left="720"/>
        <w:rPr>
          <w:i/>
        </w:rPr>
      </w:pPr>
      <w:r w:rsidRPr="00434279">
        <w:rPr>
          <w:i/>
        </w:rPr>
        <w:t>Example: Items may be returned to the library outside book drop, circulation desk, or by first-class mail to:</w:t>
      </w:r>
    </w:p>
    <w:p w14:paraId="4A32B93B" w14:textId="633AAFBC" w:rsidR="00434279" w:rsidRPr="00434279" w:rsidRDefault="00434279" w:rsidP="00434279">
      <w:pPr>
        <w:spacing w:after="120" w:line="240" w:lineRule="auto"/>
        <w:ind w:left="1440"/>
        <w:rPr>
          <w:i/>
        </w:rPr>
      </w:pPr>
      <w:r w:rsidRPr="00434279">
        <w:rPr>
          <w:i/>
        </w:rPr>
        <w:t>Somewhere Public Library</w:t>
      </w:r>
      <w:r w:rsidRPr="00434279">
        <w:rPr>
          <w:i/>
        </w:rPr>
        <w:br/>
        <w:t>100 Nowhere Road</w:t>
      </w:r>
      <w:r w:rsidRPr="00434279">
        <w:rPr>
          <w:i/>
        </w:rPr>
        <w:br/>
        <w:t>Somewhere, TX 00000</w:t>
      </w:r>
    </w:p>
    <w:p w14:paraId="03A8E269" w14:textId="77DF3CF7" w:rsidR="00434279" w:rsidRPr="00434279" w:rsidRDefault="00434279" w:rsidP="009B6E81">
      <w:pPr>
        <w:spacing w:after="120" w:line="240" w:lineRule="auto"/>
        <w:ind w:left="720"/>
        <w:rPr>
          <w:i/>
        </w:rPr>
      </w:pPr>
      <w:r w:rsidRPr="00434279">
        <w:rPr>
          <w:i/>
        </w:rPr>
        <w:t>Damaged items must be returned to the circulation desk.</w:t>
      </w:r>
    </w:p>
    <w:p w14:paraId="3914B75D" w14:textId="77777777" w:rsidR="00434279" w:rsidRPr="009B6E81" w:rsidRDefault="00434279" w:rsidP="00434279">
      <w:pPr>
        <w:keepNext/>
        <w:spacing w:before="240" w:after="120" w:line="240" w:lineRule="auto"/>
        <w:rPr>
          <w:b/>
        </w:rPr>
      </w:pPr>
      <w:r>
        <w:rPr>
          <w:b/>
        </w:rPr>
        <w:t>Recalls</w:t>
      </w:r>
    </w:p>
    <w:p w14:paraId="6ACB4166" w14:textId="5B5C2912" w:rsidR="00434279" w:rsidRDefault="00434279" w:rsidP="00434279">
      <w:pPr>
        <w:spacing w:after="120" w:line="240" w:lineRule="auto"/>
        <w:ind w:left="720"/>
      </w:pPr>
      <w:r w:rsidRPr="00434279">
        <w:t>Explain under what circumstances might an item be recalled by the library.</w:t>
      </w:r>
      <w:r>
        <w:t xml:space="preserve"> For example, how do you notify a borrower that an item has been recalled? Does the due date or fine rate change upon recall?</w:t>
      </w:r>
    </w:p>
    <w:p w14:paraId="79A08EE6" w14:textId="025C0BEF" w:rsidR="00434279" w:rsidRPr="00AB6587" w:rsidRDefault="00434279" w:rsidP="00434279">
      <w:pPr>
        <w:spacing w:after="120" w:line="240" w:lineRule="auto"/>
        <w:ind w:left="720"/>
        <w:rPr>
          <w:i/>
        </w:rPr>
      </w:pPr>
      <w:r w:rsidRPr="00AB6587">
        <w:rPr>
          <w:i/>
        </w:rPr>
        <w:t xml:space="preserve">Example: Any patron may place a hold on a </w:t>
      </w:r>
      <w:proofErr w:type="gramStart"/>
      <w:r w:rsidRPr="00AB6587">
        <w:rPr>
          <w:i/>
        </w:rPr>
        <w:t>checked out</w:t>
      </w:r>
      <w:proofErr w:type="gramEnd"/>
      <w:r w:rsidRPr="00AB6587">
        <w:rPr>
          <w:i/>
        </w:rPr>
        <w:t xml:space="preserve"> item. </w:t>
      </w:r>
      <w:r w:rsidR="00AB6587" w:rsidRPr="00AB6587">
        <w:rPr>
          <w:i/>
        </w:rPr>
        <w:t>Items on hold may not be renewed, and items that have been checked out for more than 14 days will be recalled by the library. Recall notices are provided by email, if the patron has a valid email address on file, and by first-class mail. Patrons will be given five days from the notice to return the recalled item. Fines for items not returned by the new due date will be charged and patrons will not be allowed to checkout or renew additional items until the item has been returned and all fees have been paid.</w:t>
      </w:r>
    </w:p>
    <w:p w14:paraId="1298E55C" w14:textId="77777777" w:rsidR="00434279" w:rsidRPr="009B6E81" w:rsidRDefault="00434279" w:rsidP="00434279">
      <w:pPr>
        <w:keepNext/>
        <w:spacing w:before="240" w:after="120" w:line="240" w:lineRule="auto"/>
        <w:rPr>
          <w:b/>
        </w:rPr>
      </w:pPr>
      <w:r w:rsidRPr="009B6E81">
        <w:rPr>
          <w:b/>
        </w:rPr>
        <w:t xml:space="preserve">Non-circulating Items: </w:t>
      </w:r>
    </w:p>
    <w:p w14:paraId="0EA3C547" w14:textId="58D17B51" w:rsidR="00434279" w:rsidRDefault="00AB6587" w:rsidP="00434279">
      <w:pPr>
        <w:spacing w:after="120" w:line="240" w:lineRule="auto"/>
        <w:ind w:left="720"/>
      </w:pPr>
      <w:r w:rsidRPr="00AB6587">
        <w:t>What items are not available to be checked out by visiting TexShare Card holders. If your institution has multiple libraries or branches, list any that do not circulate items or do not participate in the TexShare Card Program</w:t>
      </w:r>
      <w:r w:rsidR="00434279">
        <w:t>.</w:t>
      </w:r>
    </w:p>
    <w:p w14:paraId="7774BCE5" w14:textId="42BEEBA6" w:rsidR="00AB6587" w:rsidRPr="00AB6587" w:rsidRDefault="00AB6587" w:rsidP="00434279">
      <w:pPr>
        <w:spacing w:after="120" w:line="240" w:lineRule="auto"/>
        <w:ind w:left="720"/>
        <w:rPr>
          <w:i/>
        </w:rPr>
      </w:pPr>
      <w:r w:rsidRPr="00AB6587">
        <w:rPr>
          <w:i/>
        </w:rPr>
        <w:t xml:space="preserve">Reference books, including items from the local history and genealogy room, do not circulate. </w:t>
      </w:r>
    </w:p>
    <w:p w14:paraId="2E2D6136" w14:textId="77777777" w:rsidR="009B6E81" w:rsidRPr="009B6E81" w:rsidRDefault="000B598C" w:rsidP="009B6E81">
      <w:pPr>
        <w:keepNext/>
        <w:spacing w:before="240" w:after="120" w:line="240" w:lineRule="auto"/>
        <w:rPr>
          <w:b/>
        </w:rPr>
      </w:pPr>
      <w:r>
        <w:rPr>
          <w:b/>
        </w:rPr>
        <w:t>Overdue Reminders</w:t>
      </w:r>
    </w:p>
    <w:p w14:paraId="6E1E8719" w14:textId="77777777" w:rsidR="00AB6587" w:rsidRDefault="00AB6587" w:rsidP="00AB6587">
      <w:pPr>
        <w:spacing w:after="120" w:line="240" w:lineRule="auto"/>
        <w:ind w:left="720"/>
      </w:pPr>
      <w:r w:rsidRPr="00AB6587">
        <w:t>How do you contact visiting TexShare Card holders about overdue items?</w:t>
      </w:r>
      <w:r w:rsidR="009B6E81">
        <w:t xml:space="preserve"> For example, overdue notice sent by mail, e-mail notice, no reminder, etc.</w:t>
      </w:r>
    </w:p>
    <w:p w14:paraId="1DF7137C" w14:textId="0D5D6FE5" w:rsidR="009B6E81" w:rsidRPr="00AB6587" w:rsidRDefault="00AB6587" w:rsidP="00AB6587">
      <w:pPr>
        <w:spacing w:after="120" w:line="240" w:lineRule="auto"/>
        <w:ind w:left="720"/>
        <w:rPr>
          <w:i/>
        </w:rPr>
      </w:pPr>
      <w:r w:rsidRPr="00AB6587">
        <w:rPr>
          <w:i/>
        </w:rPr>
        <w:t>Example: Overdue notices are provided by email, if the patron has a valid email address on file, and by first-class mail.</w:t>
      </w:r>
      <w:r>
        <w:rPr>
          <w:i/>
        </w:rPr>
        <w:t xml:space="preserve"> A second notice will be sent when the item is fourteen days overdue. Overdue accounts are turned over to a collection agency after 42 (forty-two) days.</w:t>
      </w:r>
    </w:p>
    <w:p w14:paraId="0001EBB1" w14:textId="68D4EEFF" w:rsidR="009B6E81" w:rsidRPr="009B6E81" w:rsidRDefault="000B598C" w:rsidP="009B6E81">
      <w:pPr>
        <w:keepNext/>
        <w:spacing w:before="240" w:after="120" w:line="240" w:lineRule="auto"/>
        <w:rPr>
          <w:b/>
        </w:rPr>
      </w:pPr>
      <w:r>
        <w:rPr>
          <w:b/>
        </w:rPr>
        <w:t>Fines and Fees</w:t>
      </w:r>
      <w:r w:rsidR="00F06801" w:rsidRPr="00F06801">
        <w:rPr>
          <w:b/>
          <w:color w:val="FF0000"/>
        </w:rPr>
        <w:t>*</w:t>
      </w:r>
    </w:p>
    <w:p w14:paraId="64BB8CC9" w14:textId="4374E683" w:rsidR="009B6E81" w:rsidRDefault="009B6E81" w:rsidP="009B6E81">
      <w:pPr>
        <w:spacing w:after="120" w:line="240" w:lineRule="auto"/>
        <w:ind w:left="720"/>
      </w:pPr>
      <w:r>
        <w:t>Fine rates and fees charged to TexShare students, faculty and staff at your library for late and/or damaged materials.</w:t>
      </w:r>
    </w:p>
    <w:p w14:paraId="76BC10C5" w14:textId="0BC03CAD" w:rsidR="00AB6587" w:rsidRPr="00DC4264" w:rsidRDefault="00AB6587" w:rsidP="009B6E81">
      <w:pPr>
        <w:spacing w:after="120" w:line="240" w:lineRule="auto"/>
        <w:ind w:left="720"/>
        <w:rPr>
          <w:i/>
        </w:rPr>
      </w:pPr>
      <w:r w:rsidRPr="00DC4264">
        <w:rPr>
          <w:i/>
        </w:rPr>
        <w:t xml:space="preserve">Example: Fines for overdue materials are charged </w:t>
      </w:r>
      <w:r w:rsidR="00DC4264" w:rsidRPr="00DC4264">
        <w:rPr>
          <w:i/>
        </w:rPr>
        <w:t xml:space="preserve">at $0.25 per day, up to a maximum of $10. An additional $10 collection fee will be charged after 42 (forty-two) days. </w:t>
      </w:r>
    </w:p>
    <w:p w14:paraId="0A14F0A9" w14:textId="2ABC30C6" w:rsidR="009B6E81" w:rsidRPr="009B6E81" w:rsidRDefault="000B598C" w:rsidP="009B6E81">
      <w:pPr>
        <w:keepNext/>
        <w:spacing w:before="240" w:after="120" w:line="240" w:lineRule="auto"/>
        <w:rPr>
          <w:b/>
        </w:rPr>
      </w:pPr>
      <w:r>
        <w:rPr>
          <w:b/>
        </w:rPr>
        <w:t>Lost Items</w:t>
      </w:r>
      <w:r w:rsidR="00F06801" w:rsidRPr="00F06801">
        <w:rPr>
          <w:b/>
          <w:color w:val="FF0000"/>
        </w:rPr>
        <w:t>*</w:t>
      </w:r>
    </w:p>
    <w:p w14:paraId="50F9BECF" w14:textId="77777777" w:rsidR="00DC4264" w:rsidRDefault="00DC4264" w:rsidP="009B6E81">
      <w:pPr>
        <w:spacing w:after="120" w:line="240" w:lineRule="auto"/>
        <w:ind w:left="720"/>
      </w:pPr>
      <w:r w:rsidRPr="00DC4264">
        <w:t>Policy for dealing with lost or damaged items</w:t>
      </w:r>
      <w:r w:rsidR="009B6E81">
        <w:t>.</w:t>
      </w:r>
    </w:p>
    <w:p w14:paraId="60614B79" w14:textId="4298EB0B" w:rsidR="009B6E81" w:rsidRPr="00A13EEA" w:rsidRDefault="00DC4264" w:rsidP="009B6E81">
      <w:pPr>
        <w:spacing w:after="120" w:line="240" w:lineRule="auto"/>
        <w:ind w:left="720"/>
        <w:rPr>
          <w:i/>
        </w:rPr>
      </w:pPr>
      <w:r w:rsidRPr="00A13EEA">
        <w:rPr>
          <w:i/>
        </w:rPr>
        <w:t xml:space="preserve">Example: Lost items must be reported immediately to the circulation desk to stop any overdue charges. Damaged items must be returned to the circulation desk for assessment. If in the library’s sole </w:t>
      </w:r>
      <w:proofErr w:type="gramStart"/>
      <w:r w:rsidRPr="00A13EEA">
        <w:rPr>
          <w:i/>
        </w:rPr>
        <w:t>opinion</w:t>
      </w:r>
      <w:proofErr w:type="gramEnd"/>
      <w:r w:rsidRPr="00A13EEA">
        <w:rPr>
          <w:i/>
        </w:rPr>
        <w:t xml:space="preserve"> the item is damaged beyond repair, it will be marked as lost and the patron has the option to keep the damaged copy. Lost items and items damaged beyond repair are charged the list price for a replacement copy plus a $10 processing fee. If a new copy is not available, the patron will be charged $25 plus a $10 processing fee.</w:t>
      </w:r>
      <w:r w:rsidR="00A13EEA" w:rsidRPr="00A13EEA">
        <w:rPr>
          <w:i/>
        </w:rPr>
        <w:t xml:space="preserve"> Damaged items that can be repaired will be charged a $5 processing fee.</w:t>
      </w:r>
    </w:p>
    <w:p w14:paraId="0F99571F" w14:textId="117BF291" w:rsidR="009B6E81" w:rsidRPr="009B6E81" w:rsidRDefault="000B598C" w:rsidP="009B6E81">
      <w:pPr>
        <w:keepNext/>
        <w:spacing w:before="240" w:after="120" w:line="240" w:lineRule="auto"/>
        <w:rPr>
          <w:b/>
        </w:rPr>
      </w:pPr>
      <w:r>
        <w:rPr>
          <w:b/>
        </w:rPr>
        <w:t>Billing Information</w:t>
      </w:r>
      <w:r w:rsidR="00F06801" w:rsidRPr="00F06801">
        <w:rPr>
          <w:b/>
          <w:color w:val="FF0000"/>
        </w:rPr>
        <w:t>*</w:t>
      </w:r>
    </w:p>
    <w:p w14:paraId="1A4E7C50" w14:textId="5003BAF7" w:rsidR="00A13EEA" w:rsidRDefault="00A13EEA" w:rsidP="00A13EEA">
      <w:pPr>
        <w:keepNext/>
        <w:spacing w:before="240" w:after="120" w:line="240" w:lineRule="auto"/>
        <w:ind w:left="720"/>
      </w:pPr>
      <w:r w:rsidRPr="00A13EEA">
        <w:t>How can visiting TexShare Card holders pay fines or fees? What are your policies for dealing with a failure to pay?</w:t>
      </w:r>
    </w:p>
    <w:p w14:paraId="3A286E85" w14:textId="6CCD3217" w:rsidR="00A13EEA" w:rsidRDefault="00A13EEA" w:rsidP="00A13EEA">
      <w:pPr>
        <w:keepNext/>
        <w:spacing w:before="240" w:after="120" w:line="240" w:lineRule="auto"/>
        <w:ind w:left="720"/>
      </w:pPr>
      <w:r w:rsidRPr="00A13EEA">
        <w:rPr>
          <w:i/>
        </w:rPr>
        <w:t>Example: Fines and fees can be paid at the circulation desk during normal operating hours by cash, credit, or debit card. Fees may also be paid by credit or debit card online through the</w:t>
      </w:r>
      <w:r>
        <w:rPr>
          <w:i/>
        </w:rPr>
        <w:t xml:space="preserve"> patron’s account in the library online catalog at </w:t>
      </w:r>
      <w:hyperlink r:id="rId10" w:history="1">
        <w:r w:rsidRPr="00332BC1">
          <w:rPr>
            <w:rStyle w:val="Hyperlink"/>
            <w:i/>
          </w:rPr>
          <w:t>https://catalog.somewhere.gov</w:t>
        </w:r>
      </w:hyperlink>
      <w:r>
        <w:rPr>
          <w:i/>
        </w:rPr>
        <w:t xml:space="preserve"> or by calling the circulation desk at (000) 000-0000.</w:t>
      </w:r>
    </w:p>
    <w:p w14:paraId="63B8ADB7" w14:textId="3CF4E6FE" w:rsidR="009B6E81" w:rsidRPr="009B6E81" w:rsidRDefault="009B6E81" w:rsidP="009B6E81">
      <w:pPr>
        <w:keepNext/>
        <w:spacing w:before="240" w:after="120" w:line="240" w:lineRule="auto"/>
        <w:rPr>
          <w:b/>
        </w:rPr>
      </w:pPr>
      <w:r w:rsidRPr="009B6E81">
        <w:rPr>
          <w:b/>
        </w:rPr>
        <w:t>Additional information on circu</w:t>
      </w:r>
      <w:r w:rsidR="000B598C">
        <w:rPr>
          <w:b/>
        </w:rPr>
        <w:t>lation policies and procedures</w:t>
      </w:r>
    </w:p>
    <w:p w14:paraId="3EED2E3B" w14:textId="1E27E7F9" w:rsidR="000B598C" w:rsidRDefault="00A13EEA" w:rsidP="009B6E81">
      <w:pPr>
        <w:spacing w:after="120" w:line="240" w:lineRule="auto"/>
        <w:ind w:left="720"/>
      </w:pPr>
      <w:r w:rsidRPr="00A13EEA">
        <w:t>Any other information TexShare Card users or requesters might need to know</w:t>
      </w:r>
      <w:r w:rsidR="009B6E81">
        <w:t>.</w:t>
      </w:r>
    </w:p>
    <w:p w14:paraId="7BFAED5B" w14:textId="4E68375D" w:rsidR="00A13EEA" w:rsidRPr="00A13EEA" w:rsidRDefault="00A13EEA" w:rsidP="009B6E81">
      <w:pPr>
        <w:spacing w:after="120" w:line="240" w:lineRule="auto"/>
        <w:ind w:left="720"/>
        <w:rPr>
          <w:i/>
        </w:rPr>
      </w:pPr>
      <w:r w:rsidRPr="00A13EEA">
        <w:rPr>
          <w:i/>
        </w:rPr>
        <w:t xml:space="preserve">Example: See our website at </w:t>
      </w:r>
      <w:hyperlink r:id="rId11" w:history="1">
        <w:r w:rsidRPr="00A13EEA">
          <w:rPr>
            <w:rStyle w:val="Hyperlink"/>
            <w:i/>
          </w:rPr>
          <w:t>www.somewhere.gov/library/</w:t>
        </w:r>
      </w:hyperlink>
      <w:r w:rsidRPr="00A13EEA">
        <w:rPr>
          <w:i/>
        </w:rPr>
        <w:t xml:space="preserve"> for a full list of library programs, operating hours, and contact information.</w:t>
      </w:r>
    </w:p>
    <w:sectPr w:rsidR="00A13EEA" w:rsidRPr="00A13EEA" w:rsidSect="00B677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77097"/>
    <w:multiLevelType w:val="hybridMultilevel"/>
    <w:tmpl w:val="3768DBA2"/>
    <w:lvl w:ilvl="0" w:tplc="7996D7B0">
      <w:start w:val="1"/>
      <w:numFmt w:val="bullet"/>
      <w:lvlText w:val="•"/>
      <w:lvlJc w:val="left"/>
      <w:pPr>
        <w:tabs>
          <w:tab w:val="num" w:pos="720"/>
        </w:tabs>
        <w:ind w:left="720" w:hanging="360"/>
      </w:pPr>
      <w:rPr>
        <w:rFonts w:ascii="Arial" w:hAnsi="Arial" w:hint="default"/>
      </w:rPr>
    </w:lvl>
    <w:lvl w:ilvl="1" w:tplc="FB58FD58">
      <w:start w:val="611"/>
      <w:numFmt w:val="bullet"/>
      <w:lvlText w:val="–"/>
      <w:lvlJc w:val="left"/>
      <w:pPr>
        <w:tabs>
          <w:tab w:val="num" w:pos="1440"/>
        </w:tabs>
        <w:ind w:left="1440" w:hanging="360"/>
      </w:pPr>
      <w:rPr>
        <w:rFonts w:ascii="Arial" w:hAnsi="Arial" w:hint="default"/>
      </w:rPr>
    </w:lvl>
    <w:lvl w:ilvl="2" w:tplc="BE66E4FC">
      <w:start w:val="611"/>
      <w:numFmt w:val="bullet"/>
      <w:lvlText w:val="•"/>
      <w:lvlJc w:val="left"/>
      <w:pPr>
        <w:tabs>
          <w:tab w:val="num" w:pos="2160"/>
        </w:tabs>
        <w:ind w:left="2160" w:hanging="360"/>
      </w:pPr>
      <w:rPr>
        <w:rFonts w:ascii="Arial" w:hAnsi="Arial" w:hint="default"/>
      </w:rPr>
    </w:lvl>
    <w:lvl w:ilvl="3" w:tplc="42925808" w:tentative="1">
      <w:start w:val="1"/>
      <w:numFmt w:val="bullet"/>
      <w:lvlText w:val="•"/>
      <w:lvlJc w:val="left"/>
      <w:pPr>
        <w:tabs>
          <w:tab w:val="num" w:pos="2880"/>
        </w:tabs>
        <w:ind w:left="2880" w:hanging="360"/>
      </w:pPr>
      <w:rPr>
        <w:rFonts w:ascii="Arial" w:hAnsi="Arial" w:hint="default"/>
      </w:rPr>
    </w:lvl>
    <w:lvl w:ilvl="4" w:tplc="7F86A6EC" w:tentative="1">
      <w:start w:val="1"/>
      <w:numFmt w:val="bullet"/>
      <w:lvlText w:val="•"/>
      <w:lvlJc w:val="left"/>
      <w:pPr>
        <w:tabs>
          <w:tab w:val="num" w:pos="3600"/>
        </w:tabs>
        <w:ind w:left="3600" w:hanging="360"/>
      </w:pPr>
      <w:rPr>
        <w:rFonts w:ascii="Arial" w:hAnsi="Arial" w:hint="default"/>
      </w:rPr>
    </w:lvl>
    <w:lvl w:ilvl="5" w:tplc="18AA9D88" w:tentative="1">
      <w:start w:val="1"/>
      <w:numFmt w:val="bullet"/>
      <w:lvlText w:val="•"/>
      <w:lvlJc w:val="left"/>
      <w:pPr>
        <w:tabs>
          <w:tab w:val="num" w:pos="4320"/>
        </w:tabs>
        <w:ind w:left="4320" w:hanging="360"/>
      </w:pPr>
      <w:rPr>
        <w:rFonts w:ascii="Arial" w:hAnsi="Arial" w:hint="default"/>
      </w:rPr>
    </w:lvl>
    <w:lvl w:ilvl="6" w:tplc="000AF8EE" w:tentative="1">
      <w:start w:val="1"/>
      <w:numFmt w:val="bullet"/>
      <w:lvlText w:val="•"/>
      <w:lvlJc w:val="left"/>
      <w:pPr>
        <w:tabs>
          <w:tab w:val="num" w:pos="5040"/>
        </w:tabs>
        <w:ind w:left="5040" w:hanging="360"/>
      </w:pPr>
      <w:rPr>
        <w:rFonts w:ascii="Arial" w:hAnsi="Arial" w:hint="default"/>
      </w:rPr>
    </w:lvl>
    <w:lvl w:ilvl="7" w:tplc="58E00554" w:tentative="1">
      <w:start w:val="1"/>
      <w:numFmt w:val="bullet"/>
      <w:lvlText w:val="•"/>
      <w:lvlJc w:val="left"/>
      <w:pPr>
        <w:tabs>
          <w:tab w:val="num" w:pos="5760"/>
        </w:tabs>
        <w:ind w:left="5760" w:hanging="360"/>
      </w:pPr>
      <w:rPr>
        <w:rFonts w:ascii="Arial" w:hAnsi="Arial" w:hint="default"/>
      </w:rPr>
    </w:lvl>
    <w:lvl w:ilvl="8" w:tplc="BC5A4F24"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E81"/>
    <w:rsid w:val="000B598C"/>
    <w:rsid w:val="00147849"/>
    <w:rsid w:val="00153950"/>
    <w:rsid w:val="001A2614"/>
    <w:rsid w:val="00277ABF"/>
    <w:rsid w:val="003A79D0"/>
    <w:rsid w:val="00410F6B"/>
    <w:rsid w:val="00434279"/>
    <w:rsid w:val="004F06C6"/>
    <w:rsid w:val="0051566E"/>
    <w:rsid w:val="007F4DAE"/>
    <w:rsid w:val="009363B6"/>
    <w:rsid w:val="009B6E81"/>
    <w:rsid w:val="00A13EEA"/>
    <w:rsid w:val="00AB6587"/>
    <w:rsid w:val="00AF56A6"/>
    <w:rsid w:val="00B6770F"/>
    <w:rsid w:val="00B7005A"/>
    <w:rsid w:val="00BF111F"/>
    <w:rsid w:val="00C87E5E"/>
    <w:rsid w:val="00D24839"/>
    <w:rsid w:val="00DC4264"/>
    <w:rsid w:val="00F06801"/>
    <w:rsid w:val="00F334BF"/>
    <w:rsid w:val="00FE7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F7FE2"/>
  <w15:docId w15:val="{E9B20BBD-4DD2-439A-8AD2-B1DC68290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77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6E81"/>
    <w:rPr>
      <w:color w:val="0000FF" w:themeColor="hyperlink"/>
      <w:u w:val="single"/>
    </w:rPr>
  </w:style>
  <w:style w:type="paragraph" w:styleId="BalloonText">
    <w:name w:val="Balloon Text"/>
    <w:basedOn w:val="Normal"/>
    <w:link w:val="BalloonTextChar"/>
    <w:uiPriority w:val="99"/>
    <w:semiHidden/>
    <w:unhideWhenUsed/>
    <w:rsid w:val="009363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63B6"/>
    <w:rPr>
      <w:rFonts w:ascii="Tahoma" w:hAnsi="Tahoma" w:cs="Tahoma"/>
      <w:sz w:val="16"/>
      <w:szCs w:val="16"/>
    </w:rPr>
  </w:style>
  <w:style w:type="table" w:styleId="TableGrid">
    <w:name w:val="Table Grid"/>
    <w:basedOn w:val="TableNormal"/>
    <w:uiPriority w:val="59"/>
    <w:rsid w:val="009363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A79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302033">
      <w:bodyDiv w:val="1"/>
      <w:marLeft w:val="0"/>
      <w:marRight w:val="0"/>
      <w:marTop w:val="0"/>
      <w:marBottom w:val="0"/>
      <w:divBdr>
        <w:top w:val="none" w:sz="0" w:space="0" w:color="auto"/>
        <w:left w:val="none" w:sz="0" w:space="0" w:color="auto"/>
        <w:bottom w:val="none" w:sz="0" w:space="0" w:color="auto"/>
        <w:right w:val="none" w:sz="0" w:space="0" w:color="auto"/>
      </w:divBdr>
      <w:divsChild>
        <w:div w:id="1051533645">
          <w:marLeft w:val="274"/>
          <w:marRight w:val="0"/>
          <w:marTop w:val="77"/>
          <w:marBottom w:val="0"/>
          <w:divBdr>
            <w:top w:val="none" w:sz="0" w:space="0" w:color="auto"/>
            <w:left w:val="none" w:sz="0" w:space="0" w:color="auto"/>
            <w:bottom w:val="none" w:sz="0" w:space="0" w:color="auto"/>
            <w:right w:val="none" w:sz="0" w:space="0" w:color="auto"/>
          </w:divBdr>
        </w:div>
        <w:div w:id="204175878">
          <w:marLeft w:val="634"/>
          <w:marRight w:val="0"/>
          <w:marTop w:val="43"/>
          <w:marBottom w:val="0"/>
          <w:divBdr>
            <w:top w:val="none" w:sz="0" w:space="0" w:color="auto"/>
            <w:left w:val="none" w:sz="0" w:space="0" w:color="auto"/>
            <w:bottom w:val="none" w:sz="0" w:space="0" w:color="auto"/>
            <w:right w:val="none" w:sz="0" w:space="0" w:color="auto"/>
          </w:divBdr>
        </w:div>
        <w:div w:id="1895695039">
          <w:marLeft w:val="274"/>
          <w:marRight w:val="0"/>
          <w:marTop w:val="77"/>
          <w:marBottom w:val="0"/>
          <w:divBdr>
            <w:top w:val="none" w:sz="0" w:space="0" w:color="auto"/>
            <w:left w:val="none" w:sz="0" w:space="0" w:color="auto"/>
            <w:bottom w:val="none" w:sz="0" w:space="0" w:color="auto"/>
            <w:right w:val="none" w:sz="0" w:space="0" w:color="auto"/>
          </w:divBdr>
        </w:div>
        <w:div w:id="1458721895">
          <w:marLeft w:val="634"/>
          <w:marRight w:val="0"/>
          <w:marTop w:val="43"/>
          <w:marBottom w:val="0"/>
          <w:divBdr>
            <w:top w:val="none" w:sz="0" w:space="0" w:color="auto"/>
            <w:left w:val="none" w:sz="0" w:space="0" w:color="auto"/>
            <w:bottom w:val="none" w:sz="0" w:space="0" w:color="auto"/>
            <w:right w:val="none" w:sz="0" w:space="0" w:color="auto"/>
          </w:divBdr>
        </w:div>
        <w:div w:id="328559157">
          <w:marLeft w:val="274"/>
          <w:marRight w:val="0"/>
          <w:marTop w:val="77"/>
          <w:marBottom w:val="0"/>
          <w:divBdr>
            <w:top w:val="none" w:sz="0" w:space="0" w:color="auto"/>
            <w:left w:val="none" w:sz="0" w:space="0" w:color="auto"/>
            <w:bottom w:val="none" w:sz="0" w:space="0" w:color="auto"/>
            <w:right w:val="none" w:sz="0" w:space="0" w:color="auto"/>
          </w:divBdr>
        </w:div>
        <w:div w:id="567498149">
          <w:marLeft w:val="634"/>
          <w:marRight w:val="0"/>
          <w:marTop w:val="43"/>
          <w:marBottom w:val="0"/>
          <w:divBdr>
            <w:top w:val="none" w:sz="0" w:space="0" w:color="auto"/>
            <w:left w:val="none" w:sz="0" w:space="0" w:color="auto"/>
            <w:bottom w:val="none" w:sz="0" w:space="0" w:color="auto"/>
            <w:right w:val="none" w:sz="0" w:space="0" w:color="auto"/>
          </w:divBdr>
        </w:div>
        <w:div w:id="1097025336">
          <w:marLeft w:val="274"/>
          <w:marRight w:val="0"/>
          <w:marTop w:val="77"/>
          <w:marBottom w:val="0"/>
          <w:divBdr>
            <w:top w:val="none" w:sz="0" w:space="0" w:color="auto"/>
            <w:left w:val="none" w:sz="0" w:space="0" w:color="auto"/>
            <w:bottom w:val="none" w:sz="0" w:space="0" w:color="auto"/>
            <w:right w:val="none" w:sz="0" w:space="0" w:color="auto"/>
          </w:divBdr>
        </w:div>
        <w:div w:id="1206869289">
          <w:marLeft w:val="634"/>
          <w:marRight w:val="0"/>
          <w:marTop w:val="43"/>
          <w:marBottom w:val="0"/>
          <w:divBdr>
            <w:top w:val="none" w:sz="0" w:space="0" w:color="auto"/>
            <w:left w:val="none" w:sz="0" w:space="0" w:color="auto"/>
            <w:bottom w:val="none" w:sz="0" w:space="0" w:color="auto"/>
            <w:right w:val="none" w:sz="0" w:space="0" w:color="auto"/>
          </w:divBdr>
        </w:div>
        <w:div w:id="563488422">
          <w:marLeft w:val="274"/>
          <w:marRight w:val="0"/>
          <w:marTop w:val="77"/>
          <w:marBottom w:val="0"/>
          <w:divBdr>
            <w:top w:val="none" w:sz="0" w:space="0" w:color="auto"/>
            <w:left w:val="none" w:sz="0" w:space="0" w:color="auto"/>
            <w:bottom w:val="none" w:sz="0" w:space="0" w:color="auto"/>
            <w:right w:val="none" w:sz="0" w:space="0" w:color="auto"/>
          </w:divBdr>
        </w:div>
        <w:div w:id="1394692060">
          <w:marLeft w:val="634"/>
          <w:marRight w:val="0"/>
          <w:marTop w:val="43"/>
          <w:marBottom w:val="0"/>
          <w:divBdr>
            <w:top w:val="none" w:sz="0" w:space="0" w:color="auto"/>
            <w:left w:val="none" w:sz="0" w:space="0" w:color="auto"/>
            <w:bottom w:val="none" w:sz="0" w:space="0" w:color="auto"/>
            <w:right w:val="none" w:sz="0" w:space="0" w:color="auto"/>
          </w:divBdr>
        </w:div>
        <w:div w:id="1042562265">
          <w:marLeft w:val="274"/>
          <w:marRight w:val="0"/>
          <w:marTop w:val="77"/>
          <w:marBottom w:val="0"/>
          <w:divBdr>
            <w:top w:val="none" w:sz="0" w:space="0" w:color="auto"/>
            <w:left w:val="none" w:sz="0" w:space="0" w:color="auto"/>
            <w:bottom w:val="none" w:sz="0" w:space="0" w:color="auto"/>
            <w:right w:val="none" w:sz="0" w:space="0" w:color="auto"/>
          </w:divBdr>
        </w:div>
        <w:div w:id="2065106606">
          <w:marLeft w:val="634"/>
          <w:marRight w:val="0"/>
          <w:marTop w:val="43"/>
          <w:marBottom w:val="0"/>
          <w:divBdr>
            <w:top w:val="none" w:sz="0" w:space="0" w:color="auto"/>
            <w:left w:val="none" w:sz="0" w:space="0" w:color="auto"/>
            <w:bottom w:val="none" w:sz="0" w:space="0" w:color="auto"/>
            <w:right w:val="none" w:sz="0" w:space="0" w:color="auto"/>
          </w:divBdr>
        </w:div>
        <w:div w:id="1127315093">
          <w:marLeft w:val="1800"/>
          <w:marRight w:val="0"/>
          <w:marTop w:val="38"/>
          <w:marBottom w:val="0"/>
          <w:divBdr>
            <w:top w:val="none" w:sz="0" w:space="0" w:color="auto"/>
            <w:left w:val="none" w:sz="0" w:space="0" w:color="auto"/>
            <w:bottom w:val="none" w:sz="0" w:space="0" w:color="auto"/>
            <w:right w:val="none" w:sz="0" w:space="0" w:color="auto"/>
          </w:divBdr>
        </w:div>
        <w:div w:id="1319530501">
          <w:marLeft w:val="1800"/>
          <w:marRight w:val="0"/>
          <w:marTop w:val="38"/>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mewhere.gov/library/hour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irculation@library.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somewhere.gov/library/" TargetMode="External"/><Relationship Id="rId5" Type="http://schemas.openxmlformats.org/officeDocument/2006/relationships/image" Target="media/image1.jpeg"/><Relationship Id="rId10" Type="http://schemas.openxmlformats.org/officeDocument/2006/relationships/hyperlink" Target="https://catalog.somewhere.gov" TargetMode="External"/><Relationship Id="rId4" Type="http://schemas.openxmlformats.org/officeDocument/2006/relationships/webSettings" Target="webSettings.xml"/><Relationship Id="rId9" Type="http://schemas.openxmlformats.org/officeDocument/2006/relationships/hyperlink" Target="https://catalog.somewher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Pages>
  <Words>1079</Words>
  <Characters>6156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TSLAC</Company>
  <LinksUpToDate>false</LinksUpToDate>
  <CharactersWithSpaces>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Cunniff Plumer</dc:creator>
  <cp:lastModifiedBy>Kate Reagor</cp:lastModifiedBy>
  <cp:revision>4</cp:revision>
  <dcterms:created xsi:type="dcterms:W3CDTF">2018-08-02T18:18:00Z</dcterms:created>
  <dcterms:modified xsi:type="dcterms:W3CDTF">2018-08-30T16:58:00Z</dcterms:modified>
</cp:coreProperties>
</file>